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Luke Soenen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Chicago, IL • 630.640.6798 •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lukesoenen.me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(pwd: welcome2you!)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• </w:t>
      </w:r>
      <w:hyperlink r:id="rId8">
        <w:r w:rsidDel="00000000" w:rsidR="00000000" w:rsidRPr="00000000">
          <w:rPr>
            <w:rFonts w:ascii="Calibri" w:cs="Calibri" w:eastAsia="Calibri" w:hAnsi="Calibri"/>
            <w:color w:val="467886"/>
            <w:sz w:val="20"/>
            <w:szCs w:val="20"/>
            <w:u w:val="single"/>
            <w:rtl w:val="0"/>
          </w:rPr>
          <w:t xml:space="preserve">lukesoenen@gmail.com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after="80" w:before="16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UX Designer with 5+ years of experience leading end-to-end design for complex enterprise and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AI-driven workflows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across web and mobile delivering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$1.5M+ in annual cost savings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for 2,000+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spacing w:after="80" w:before="16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370"/>
        </w:tabs>
        <w:spacing w:after="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SAP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• 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Chicago, IL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Sep 2020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UX Designer II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Owned design strategy for the Configuration Manager Dashboard, partnering with Product and Engineering to define success metrics, validate concepts through research, and ship designs that drove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2x MAU growth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in first 30 days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Led redesign of Time Entry mobile app delivering a new interaction model that delivered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3x faster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submissions, and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200% increase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in ease-of-use saving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~1.2 million dollars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in labor costs per year for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150k MAU’s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Shaped and led design for AI-powered Statement of Work deliverable creation, resulting in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18x faster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data-entry speed and saving customers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~$367,000 annually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Led design for AI-powered qualification recommendations within job posting module resulting in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8x faster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selection speed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Spearheaded data-driven benchmarking initiative to evaluate AI feature suite impact across adoption, usage, and accuracy metrics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Shipped high-quality component specifications for the SAP design system used by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~3k designers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across 11 LOBs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UX Designer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Identified the root cause of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~4M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duplicate worker profiles in database and designed prevention system to improve data integrity and eliminate downstream issues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Redesigned Create Job Posting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Setup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resulting in faster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job posting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creation for hiring managers and less help desk calls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100"/>
        </w:tabs>
        <w:spacing w:after="80" w:before="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Dendritic Health AI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 • Remote • Part-Time</w:t>
        <w:tab/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Mar 2023 – Dec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Co-founder, Head of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Defined design strategy for an AI-powered EdTech platform, designing core AI experiences leading to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30k accounts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$400k ARR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Owned design for investor materials, contributing to securing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$1.1M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in seed funding</w:t>
      </w:r>
    </w:p>
    <w:p w:rsidR="00000000" w:rsidDel="00000000" w:rsidP="00000000" w:rsidRDefault="00000000" w:rsidRPr="00000000" w14:paraId="00000015">
      <w:pPr>
        <w:pBdr>
          <w:bottom w:color="000000" w:space="1" w:sz="6" w:val="single"/>
        </w:pBdr>
        <w:spacing w:after="80" w:before="16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One of two designer selected for Forward Deployed Engineering team (2025) 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Featured in Crain’s Business Magazine for medical education startup (2024)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Semi-Finalist Rice Business Plan Competition (2024)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place in SAP Fieldglass Hackathon competition (2023)</w:t>
      </w:r>
    </w:p>
    <w:p w:rsidR="00000000" w:rsidDel="00000000" w:rsidP="00000000" w:rsidRDefault="00000000" w:rsidRPr="00000000" w14:paraId="0000001A">
      <w:pPr>
        <w:pBdr>
          <w:bottom w:color="000000" w:space="1" w:sz="6" w:val="single"/>
        </w:pBdr>
        <w:spacing w:after="80" w:before="16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Figma, Figma Make, Claude Code, Lovable, v0, Rapid Prototyping, Design Systems, HTML/CSS, Data mining, Journey Mapping, Storytelling, Visual Design, Information Architecture, User Flows, User Interviews</w:t>
      </w:r>
    </w:p>
    <w:p w:rsidR="00000000" w:rsidDel="00000000" w:rsidP="00000000" w:rsidRDefault="00000000" w:rsidRPr="00000000" w14:paraId="0000001C">
      <w:pPr>
        <w:pBdr>
          <w:bottom w:color="000000" w:space="1" w:sz="6" w:val="single"/>
        </w:pBdr>
        <w:spacing w:after="80" w:before="158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University of Michigan (Ann, Arbor) –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B.S. Information Science (UX Design Focus)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ukesoenen.me" TargetMode="External"/><Relationship Id="rId8" Type="http://schemas.openxmlformats.org/officeDocument/2006/relationships/hyperlink" Target="mailto:lukesoene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YYc+Yj1v5bKY243oFdYz5sZeA==">CgMxLjA4AHIhMUFlLUJsY2lWZnViUy1mR1loNkNEN1ZDYVJ0akZMUTdv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